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9A" w:rsidRPr="009D0C9A" w:rsidRDefault="009D0C9A" w:rsidP="009D0C9A">
      <w:pPr>
        <w:rPr>
          <w:rFonts w:ascii="Times New Roman" w:hAnsi="Times New Roman" w:cs="Times New Roman"/>
          <w:b/>
          <w:bCs/>
          <w:sz w:val="24"/>
          <w:szCs w:val="24"/>
        </w:rPr>
      </w:pPr>
      <w:r w:rsidRPr="009D0C9A">
        <w:rPr>
          <w:rFonts w:ascii="Times New Roman" w:hAnsi="Times New Roman" w:cs="Times New Roman"/>
          <w:b/>
          <w:bCs/>
          <w:sz w:val="24"/>
          <w:szCs w:val="24"/>
        </w:rPr>
        <w:t>Приказ Минфина России от 24 декабря 2021 г. № 225н "Об утверждении Порядка формирования информации и документов, включаемых в реестр независимых гарантий,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w:t>
      </w:r>
    </w:p>
    <w:p w:rsidR="009D0C9A" w:rsidRPr="009D0C9A" w:rsidRDefault="009D0C9A" w:rsidP="009D0C9A">
      <w:pPr>
        <w:rPr>
          <w:rFonts w:ascii="Times New Roman" w:hAnsi="Times New Roman" w:cs="Times New Roman"/>
          <w:sz w:val="24"/>
          <w:szCs w:val="24"/>
        </w:rPr>
      </w:pPr>
      <w:bookmarkStart w:id="0" w:name="0"/>
      <w:bookmarkEnd w:id="0"/>
      <w:proofErr w:type="gramStart"/>
      <w:r w:rsidRPr="009D0C9A">
        <w:rPr>
          <w:rFonts w:ascii="Times New Roman" w:hAnsi="Times New Roman" w:cs="Times New Roman"/>
          <w:sz w:val="24"/>
          <w:szCs w:val="24"/>
        </w:rPr>
        <w:t>В соответствии с пунктом 18 Правил ведения и размещения в единой информационной системе в сфере закупок реестра независимых гарантий, утвержденных постановлением Правительства Российско</w:t>
      </w:r>
      <w:bookmarkStart w:id="1" w:name="_GoBack"/>
      <w:bookmarkEnd w:id="1"/>
      <w:r w:rsidRPr="009D0C9A">
        <w:rPr>
          <w:rFonts w:ascii="Times New Roman" w:hAnsi="Times New Roman" w:cs="Times New Roman"/>
          <w:sz w:val="24"/>
          <w:szCs w:val="24"/>
        </w:rPr>
        <w:t>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46, ст</w:t>
      </w:r>
      <w:proofErr w:type="gramEnd"/>
      <w:r w:rsidRPr="009D0C9A">
        <w:rPr>
          <w:rFonts w:ascii="Times New Roman" w:hAnsi="Times New Roman" w:cs="Times New Roman"/>
          <w:sz w:val="24"/>
          <w:szCs w:val="24"/>
        </w:rPr>
        <w:t>. </w:t>
      </w:r>
      <w:proofErr w:type="gramStart"/>
      <w:r w:rsidRPr="009D0C9A">
        <w:rPr>
          <w:rFonts w:ascii="Times New Roman" w:hAnsi="Times New Roman" w:cs="Times New Roman"/>
          <w:sz w:val="24"/>
          <w:szCs w:val="24"/>
        </w:rPr>
        <w:t>5947; Официальный интернет-портал правовой информации (www.pravo.gov.ru), 2021, 24 декабря), приказываю:</w:t>
      </w:r>
      <w:proofErr w:type="gramEnd"/>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 Утвердить прилагаемый </w:t>
      </w:r>
      <w:hyperlink r:id="rId5" w:anchor="1000" w:history="1">
        <w:r w:rsidRPr="009D0C9A">
          <w:rPr>
            <w:rStyle w:val="a3"/>
            <w:rFonts w:ascii="Times New Roman" w:hAnsi="Times New Roman" w:cs="Times New Roman"/>
            <w:sz w:val="24"/>
            <w:szCs w:val="24"/>
          </w:rPr>
          <w:t>Порядок</w:t>
        </w:r>
      </w:hyperlink>
      <w:r w:rsidRPr="009D0C9A">
        <w:rPr>
          <w:rFonts w:ascii="Times New Roman" w:hAnsi="Times New Roman" w:cs="Times New Roman"/>
          <w:sz w:val="24"/>
          <w:szCs w:val="24"/>
        </w:rPr>
        <w:t> формирования информации и документов, включаемых в реестр независимых гарантий,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 (далее - Порядок).</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 Признать утратившими силу:</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приказ Министерства финансов Российской Федерации от 18 декабря 2013 г. № 126н "О порядке формирования информации и документов для ведения реестра банковских гарантий" (зарегистрирован Министерством юстиции Российской Федерации 31 января 2014 г., регистрационный № 31204);</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приказ Министерства финансов Российской Федерации от 28 мая 2014 г. № 41н "О внесении изменений в Порядок формирования информации и документов для ведения реестра банковских гарантий, утвержденный приказом Министерства финансов Российской Федерации от 18 декабря 2013 г. № 126н" (зарегистрирован Министерством юстиции Российской Федерации 26 июня 2014 г., регистрационный № 32874);</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приказ Министерства финансов Российской Федерации от 28 августа 2014 г. № 85н "О внесении изменений в Порядок формирования информации и документов для ведения реестра банковских гарантий, утвержденный приказом Министерства финансов Российской Федерации от 18 декабря 2013 г. № 126н" (зарегистрирован Министерством юстиции Российской Федерации 16 октября 2014 г., регистрационный № 34343);</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приказ Министерства финансов Российской Федерации от 13 июля 2015 г. № 110н "О внесении изменений в приказ Министерства финансов Российской Федерации от 18 декабря 2013 г. № 126н "О порядке формирования информации и документов для ведения реестра банковских гарантий" (зарегистрирован Министерством юстиции Российской Федерации 7 августа 2015 г., регистрационный № 38407);</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приказ Министерства финансов Российской Федерации от 10 ноября 2020 г. № 261н "О внесении изменений в Порядок формирования информации и документов для ведения реестра банковских гарантий, утвержденный приказом Министерства финансов </w:t>
      </w:r>
      <w:r w:rsidRPr="009D0C9A">
        <w:rPr>
          <w:rFonts w:ascii="Times New Roman" w:hAnsi="Times New Roman" w:cs="Times New Roman"/>
          <w:sz w:val="24"/>
          <w:szCs w:val="24"/>
        </w:rPr>
        <w:lastRenderedPageBreak/>
        <w:t>Российской Федерации от 18 декабря 2013 г. № 126н" (зарегистрирован Министерством юстиции Российской Федерации 15 декабря 2020 г., регистрационный № 61487).</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3. Настоящий приказ вступает в силу с 1 января 2022 года, за исключением положения </w:t>
      </w:r>
      <w:hyperlink r:id="rId6" w:anchor="1091" w:history="1">
        <w:r w:rsidRPr="009D0C9A">
          <w:rPr>
            <w:rStyle w:val="a3"/>
            <w:rFonts w:ascii="Times New Roman" w:hAnsi="Times New Roman" w:cs="Times New Roman"/>
            <w:sz w:val="24"/>
            <w:szCs w:val="24"/>
          </w:rPr>
          <w:t>подпункта "а" пункта 9</w:t>
        </w:r>
      </w:hyperlink>
      <w:r w:rsidRPr="009D0C9A">
        <w:rPr>
          <w:rFonts w:ascii="Times New Roman" w:hAnsi="Times New Roman" w:cs="Times New Roman"/>
          <w:sz w:val="24"/>
          <w:szCs w:val="24"/>
        </w:rPr>
        <w:t> Порядка в части формирования гарантом информации об аналоге идентификационного номера налогоплательщика в соответствии с законодательством иностранного государства, вступающего в силу с 1 января 2023 года.</w:t>
      </w:r>
    </w:p>
    <w:tbl>
      <w:tblPr>
        <w:tblW w:w="0" w:type="auto"/>
        <w:tblCellMar>
          <w:top w:w="15" w:type="dxa"/>
          <w:left w:w="15" w:type="dxa"/>
          <w:bottom w:w="15" w:type="dxa"/>
          <w:right w:w="15" w:type="dxa"/>
        </w:tblCellMar>
        <w:tblLook w:val="04A0" w:firstRow="1" w:lastRow="0" w:firstColumn="1" w:lastColumn="0" w:noHBand="0" w:noVBand="1"/>
      </w:tblPr>
      <w:tblGrid>
        <w:gridCol w:w="1519"/>
        <w:gridCol w:w="1519"/>
      </w:tblGrid>
      <w:tr w:rsidR="009D0C9A" w:rsidRPr="009D0C9A" w:rsidTr="009D0C9A">
        <w:tc>
          <w:tcPr>
            <w:tcW w:w="2500" w:type="pct"/>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Министр</w:t>
            </w:r>
          </w:p>
        </w:tc>
        <w:tc>
          <w:tcPr>
            <w:tcW w:w="2500" w:type="pct"/>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А.Г. </w:t>
            </w:r>
            <w:proofErr w:type="spellStart"/>
            <w:r w:rsidRPr="009D0C9A">
              <w:rPr>
                <w:rFonts w:ascii="Times New Roman" w:hAnsi="Times New Roman" w:cs="Times New Roman"/>
                <w:sz w:val="24"/>
                <w:szCs w:val="24"/>
              </w:rPr>
              <w:t>Силуанов</w:t>
            </w:r>
            <w:proofErr w:type="spellEnd"/>
          </w:p>
        </w:tc>
      </w:tr>
    </w:tbl>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Зарегистрировано в Минюсте РФ 30 декабря 2021 г.</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Регистрационный № 66726</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УТВЕРЖДЕН</w:t>
      </w:r>
      <w:r w:rsidRPr="009D0C9A">
        <w:rPr>
          <w:rFonts w:ascii="Times New Roman" w:hAnsi="Times New Roman" w:cs="Times New Roman"/>
          <w:sz w:val="24"/>
          <w:szCs w:val="24"/>
        </w:rPr>
        <w:br/>
      </w:r>
      <w:hyperlink r:id="rId7" w:anchor="0" w:history="1">
        <w:r w:rsidRPr="009D0C9A">
          <w:rPr>
            <w:rStyle w:val="a3"/>
            <w:rFonts w:ascii="Times New Roman" w:hAnsi="Times New Roman" w:cs="Times New Roman"/>
            <w:sz w:val="24"/>
            <w:szCs w:val="24"/>
          </w:rPr>
          <w:t>приказом</w:t>
        </w:r>
      </w:hyperlink>
      <w:r w:rsidRPr="009D0C9A">
        <w:rPr>
          <w:rFonts w:ascii="Times New Roman" w:hAnsi="Times New Roman" w:cs="Times New Roman"/>
          <w:sz w:val="24"/>
          <w:szCs w:val="24"/>
        </w:rPr>
        <w:t> Министерства финансов</w:t>
      </w:r>
      <w:r w:rsidRPr="009D0C9A">
        <w:rPr>
          <w:rFonts w:ascii="Times New Roman" w:hAnsi="Times New Roman" w:cs="Times New Roman"/>
          <w:sz w:val="24"/>
          <w:szCs w:val="24"/>
        </w:rPr>
        <w:br/>
        <w:t>Российской Федерации</w:t>
      </w:r>
      <w:r w:rsidRPr="009D0C9A">
        <w:rPr>
          <w:rFonts w:ascii="Times New Roman" w:hAnsi="Times New Roman" w:cs="Times New Roman"/>
          <w:sz w:val="24"/>
          <w:szCs w:val="24"/>
        </w:rPr>
        <w:br/>
        <w:t>от 24.12.2021 г.№ 225н</w:t>
      </w:r>
    </w:p>
    <w:p w:rsidR="009D0C9A" w:rsidRPr="009D0C9A" w:rsidRDefault="009D0C9A" w:rsidP="009D0C9A">
      <w:pPr>
        <w:rPr>
          <w:rFonts w:ascii="Times New Roman" w:hAnsi="Times New Roman" w:cs="Times New Roman"/>
          <w:b/>
          <w:bCs/>
          <w:sz w:val="24"/>
          <w:szCs w:val="24"/>
        </w:rPr>
      </w:pPr>
      <w:r w:rsidRPr="009D0C9A">
        <w:rPr>
          <w:rFonts w:ascii="Times New Roman" w:hAnsi="Times New Roman" w:cs="Times New Roman"/>
          <w:b/>
          <w:bCs/>
          <w:sz w:val="24"/>
          <w:szCs w:val="24"/>
        </w:rPr>
        <w:t>Порядок</w:t>
      </w:r>
      <w:r w:rsidRPr="009D0C9A">
        <w:rPr>
          <w:rFonts w:ascii="Times New Roman" w:hAnsi="Times New Roman" w:cs="Times New Roman"/>
          <w:b/>
          <w:bCs/>
          <w:sz w:val="24"/>
          <w:szCs w:val="24"/>
        </w:rPr>
        <w:br/>
        <w:t>формирования информации и документов, включаемых в реестр независимых гарантий,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1. </w:t>
      </w:r>
      <w:proofErr w:type="gramStart"/>
      <w:r w:rsidRPr="009D0C9A">
        <w:rPr>
          <w:rFonts w:ascii="Times New Roman" w:hAnsi="Times New Roman" w:cs="Times New Roman"/>
          <w:sz w:val="24"/>
          <w:szCs w:val="24"/>
        </w:rPr>
        <w:t>Настоящий Порядок формирования информации и документов, включаемых в реестр независимых гарантий,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 устанавливает правила формирования информации и документов, включаемых в реестр независимых гарантий, используемых для целей Федерального закона от 5 апреля 2013 г. № 44-ФЗ "О контрактной системе в сфере закупок товаров</w:t>
      </w:r>
      <w:proofErr w:type="gramEnd"/>
      <w:r w:rsidRPr="009D0C9A">
        <w:rPr>
          <w:rFonts w:ascii="Times New Roman" w:hAnsi="Times New Roman" w:cs="Times New Roman"/>
          <w:sz w:val="24"/>
          <w:szCs w:val="24"/>
        </w:rPr>
        <w:t xml:space="preserve">, работ, услуг для обеспечения государственных и муниципальных нужд" (Собрание законодательства Российской Федерации, 2013, № 14, ст. 1652; </w:t>
      </w:r>
      <w:proofErr w:type="gramStart"/>
      <w:r w:rsidRPr="009D0C9A">
        <w:rPr>
          <w:rFonts w:ascii="Times New Roman" w:hAnsi="Times New Roman" w:cs="Times New Roman"/>
          <w:sz w:val="24"/>
          <w:szCs w:val="24"/>
        </w:rPr>
        <w:t>2021, № 27, ст. 5188) (далее - Федеральный закон "О контрактной системе в сфере закупок товаров, работ, услуг для обеспечения государственных и муниципальных нужд"), за исключением независимых гарантий, предоставленных в качестве обеспечения заявок, исполнения контрактов 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w:t>
      </w:r>
      <w:proofErr w:type="gramEnd"/>
      <w:r w:rsidRPr="009D0C9A">
        <w:rPr>
          <w:rFonts w:ascii="Times New Roman" w:hAnsi="Times New Roman" w:cs="Times New Roman"/>
          <w:sz w:val="24"/>
          <w:szCs w:val="24"/>
        </w:rPr>
        <w:t xml:space="preserve"> обязательства), при осуществлении закупок в случае, предусмотренном пунктом 1 части 11 статьи 24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2021, № 27, ст. 5188) (далее - реестр).</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 Информация и документы, включаемые в реестр (далее - информация, документы), формируются: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банками, соответствующими требованиям, установленным Правительством Российской Федерации</w:t>
      </w:r>
      <w:hyperlink r:id="rId8" w:anchor="1111" w:history="1">
        <w:r w:rsidRPr="009D0C9A">
          <w:rPr>
            <w:rStyle w:val="a3"/>
            <w:rFonts w:ascii="Times New Roman" w:hAnsi="Times New Roman" w:cs="Times New Roman"/>
            <w:sz w:val="24"/>
            <w:szCs w:val="24"/>
            <w:vertAlign w:val="superscript"/>
          </w:rPr>
          <w:t>1</w:t>
        </w:r>
      </w:hyperlink>
      <w:r w:rsidRPr="009D0C9A">
        <w:rPr>
          <w:rFonts w:ascii="Times New Roman" w:hAnsi="Times New Roman" w:cs="Times New Roman"/>
          <w:sz w:val="24"/>
          <w:szCs w:val="24"/>
        </w:rPr>
        <w:t> (далее - банки);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 xml:space="preserve">государственной корпорацией развития "ВЭБ. </w:t>
      </w:r>
      <w:proofErr w:type="gramStart"/>
      <w:r w:rsidRPr="009D0C9A">
        <w:rPr>
          <w:rFonts w:ascii="Times New Roman" w:hAnsi="Times New Roman" w:cs="Times New Roman"/>
          <w:sz w:val="24"/>
          <w:szCs w:val="24"/>
        </w:rPr>
        <w:t>РФ";</w:t>
      </w:r>
      <w:proofErr w:type="gramEnd"/>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 209-ФЗ "О развитии малого и среднего предпринимательства в Российской Федерации" (Собрание законодательства Российской Федерации, 2007, № 31, ст. 4006; 2021, № 27, ст. 5179) (далее - региональные гарантийные организации), соответствующими требованиям, установленным Правительством Российской Федерации</w:t>
      </w:r>
      <w:hyperlink r:id="rId9" w:anchor="1112" w:history="1">
        <w:r w:rsidRPr="009D0C9A">
          <w:rPr>
            <w:rStyle w:val="a3"/>
            <w:rFonts w:ascii="Times New Roman" w:hAnsi="Times New Roman" w:cs="Times New Roman"/>
            <w:sz w:val="24"/>
            <w:szCs w:val="24"/>
            <w:vertAlign w:val="superscript"/>
          </w:rPr>
          <w:t>2</w:t>
        </w:r>
      </w:hyperlink>
      <w:r w:rsidRPr="009D0C9A">
        <w:rPr>
          <w:rFonts w:ascii="Times New Roman" w:hAnsi="Times New Roman" w:cs="Times New Roman"/>
          <w:sz w:val="24"/>
          <w:szCs w:val="24"/>
        </w:rPr>
        <w:t>, и включенными в перечень, предусмотренный частью 1.7 статьи 45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2021, № 27, ст. 5188) (при осуществлении закупок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2021, № 27, ст. 5188);</w:t>
      </w:r>
    </w:p>
    <w:p w:rsidR="009D0C9A" w:rsidRPr="009D0C9A" w:rsidRDefault="009D0C9A" w:rsidP="009D0C9A">
      <w:pPr>
        <w:rPr>
          <w:rFonts w:ascii="Times New Roman" w:hAnsi="Times New Roman" w:cs="Times New Roman"/>
          <w:sz w:val="24"/>
          <w:szCs w:val="24"/>
        </w:rPr>
      </w:pPr>
      <w:proofErr w:type="gramStart"/>
      <w:r w:rsidRPr="009D0C9A">
        <w:rPr>
          <w:rFonts w:ascii="Times New Roman" w:hAnsi="Times New Roman" w:cs="Times New Roman"/>
          <w:sz w:val="24"/>
          <w:szCs w:val="24"/>
        </w:rPr>
        <w:t>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roofErr w:type="gramEnd"/>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заказчиками, являющимися бенефициарами по независимым гарантиям (далее - заказчики).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3. Формирование банками, государственной корпорацией развития "ВЭБ</w:t>
      </w:r>
      <w:proofErr w:type="gramStart"/>
      <w:r w:rsidRPr="009D0C9A">
        <w:rPr>
          <w:rFonts w:ascii="Times New Roman" w:hAnsi="Times New Roman" w:cs="Times New Roman"/>
          <w:sz w:val="24"/>
          <w:szCs w:val="24"/>
        </w:rPr>
        <w:t>.Р</w:t>
      </w:r>
      <w:proofErr w:type="gramEnd"/>
      <w:r w:rsidRPr="009D0C9A">
        <w:rPr>
          <w:rFonts w:ascii="Times New Roman" w:hAnsi="Times New Roman" w:cs="Times New Roman"/>
          <w:sz w:val="24"/>
          <w:szCs w:val="24"/>
        </w:rPr>
        <w:t>Ф", региональными гарантийными организациями, Евразийским банком развития, выдающими независимые гарантии (далее при совместном упоминании - гаранты), и заказчиками информации и документов, включаемых в реестр, осуществляется в единой информационной системе в сфере закупок (далее - информационная система).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4. Информация и документы, формируемые заказчиками и гарантами, подписываются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(далее - электронная подпись), уполномоченного от их имени лица.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5. Информация, включаемая в реестр, формируется в структурированном виде путем заполнения экранных форм веб-интерфейса информационной системы. При формировании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настоящим Порядком.</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Обеспечение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6. Документы, включаемые в реестр, формируются в виде электронной копии бумажного документа, созданной посредством его сканирования, и (или) в форме электронного документа. Электронный документ и электронные копии бумажных документов должны иметь распространенные открытые форматы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7. Персональную ответственность за формирование информации и документов, за их полноту и достоверность несет уполномоченное от имени гаранта и (или) заказчика лицо, чьей электронной подписью подписаны соответствующие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8. Информация и документы формируются на государственном языке Российской Федерации. Наименования иностранных юридических лиц и фамилия, имя, отчество (при наличии) иностранных физических лиц могут быть указаны с использованием букв латинского алфавита.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9. В целях ведения реестра гарант обеспечивает формирование следующей информации и документов:</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а)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б) наименование, место нахождения поставщика (подрядчика, исполнителя), являющегося принципалом (далее - поставщик),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в) наименование, место нахождения заказчика, идентификационный номер налогоплательщика;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г) денежная сумма, указанная в независимой гарантии и подлежащая уплате гарантом в случае неисполнения поставщиком в установленных случаях требований Федерального закона "О контрактной системе в сфере закупок товаров, работ, услуг для обеспечения государственных и муниципальных нужд";</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 срок действия независимой гарантии;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е) идентификационный код закупки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ж) копия независимой гарантии (в случае ее выдачи на бумажном носителе), независимая гарантия (в случае ее выдачи в форме электронного документа);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з) копия документа о внесении изменений в условия независимой гарантии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10. </w:t>
      </w:r>
      <w:proofErr w:type="gramStart"/>
      <w:r w:rsidRPr="009D0C9A">
        <w:rPr>
          <w:rFonts w:ascii="Times New Roman" w:hAnsi="Times New Roman" w:cs="Times New Roman"/>
          <w:sz w:val="24"/>
          <w:szCs w:val="24"/>
        </w:rPr>
        <w:t xml:space="preserve">В случае отказа в принятии независимой гарантии, прекращении обязательств поставщика, обеспеченных независимой гарантией, возвращении независимой гарантии гаранту или уведомления об отказе от прав (от части прав) по гарантии заказчик обеспечивает формирование информации соответственно об отказе в принятии независимой гарантии, о прекращении обязательств поставщика, обеспеченных </w:t>
      </w:r>
      <w:r w:rsidRPr="009D0C9A">
        <w:rPr>
          <w:rFonts w:ascii="Times New Roman" w:hAnsi="Times New Roman" w:cs="Times New Roman"/>
          <w:sz w:val="24"/>
          <w:szCs w:val="24"/>
        </w:rPr>
        <w:lastRenderedPageBreak/>
        <w:t>независимой гарантией, о возвращении независимой гарантии гаранту или об уведомлении, направляемом заказчиком гаранту, об отказе от</w:t>
      </w:r>
      <w:proofErr w:type="gramEnd"/>
      <w:r w:rsidRPr="009D0C9A">
        <w:rPr>
          <w:rFonts w:ascii="Times New Roman" w:hAnsi="Times New Roman" w:cs="Times New Roman"/>
          <w:sz w:val="24"/>
          <w:szCs w:val="24"/>
        </w:rPr>
        <w:t xml:space="preserve"> прав (от части прав) по гарантии.</w:t>
      </w:r>
    </w:p>
    <w:p w:rsidR="009D0C9A" w:rsidRPr="009D0C9A" w:rsidRDefault="009D0C9A" w:rsidP="009D0C9A">
      <w:pPr>
        <w:rPr>
          <w:rFonts w:ascii="Times New Roman" w:hAnsi="Times New Roman" w:cs="Times New Roman"/>
          <w:sz w:val="24"/>
          <w:szCs w:val="24"/>
        </w:rPr>
      </w:pPr>
      <w:proofErr w:type="gramStart"/>
      <w:r w:rsidRPr="009D0C9A">
        <w:rPr>
          <w:rFonts w:ascii="Times New Roman" w:hAnsi="Times New Roman" w:cs="Times New Roman"/>
          <w:sz w:val="24"/>
          <w:szCs w:val="24"/>
        </w:rPr>
        <w:t>К информации об отказе заказчика в принятии независимой гарантии прилагается соответствующий документ заказчика, составленный в письменной форме или форме электронного документа, содержащий информацию об отказе в принятии независимой гарантии с указанием причин, послуживших основанием для отказа, и направленный заказчиком в адрес поставщика в соответствии с частью 7 статьи 45 Федерального закона "О контрактной системе в сфере закупок товаров, работ, услуг</w:t>
      </w:r>
      <w:proofErr w:type="gramEnd"/>
      <w:r w:rsidRPr="009D0C9A">
        <w:rPr>
          <w:rFonts w:ascii="Times New Roman" w:hAnsi="Times New Roman" w:cs="Times New Roman"/>
          <w:sz w:val="24"/>
          <w:szCs w:val="24"/>
        </w:rPr>
        <w:t xml:space="preserve"> </w:t>
      </w:r>
      <w:proofErr w:type="gramStart"/>
      <w:r w:rsidRPr="009D0C9A">
        <w:rPr>
          <w:rFonts w:ascii="Times New Roman" w:hAnsi="Times New Roman" w:cs="Times New Roman"/>
          <w:sz w:val="24"/>
          <w:szCs w:val="24"/>
        </w:rPr>
        <w:t>для обеспечения государственных и муниципальных нужд" (Собрание законодательства Российской Федерации, 2013, № 14, ст. 1652; 2021, № 27, ст. 5188),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roofErr w:type="gramEnd"/>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11. Сведения, указанные в </w:t>
      </w:r>
      <w:hyperlink r:id="rId10" w:anchor="1091" w:history="1">
        <w:r w:rsidRPr="009D0C9A">
          <w:rPr>
            <w:rStyle w:val="a3"/>
            <w:rFonts w:ascii="Times New Roman" w:hAnsi="Times New Roman" w:cs="Times New Roman"/>
            <w:sz w:val="24"/>
            <w:szCs w:val="24"/>
          </w:rPr>
          <w:t>подпунктах "а" - "е" пункта 9</w:t>
        </w:r>
      </w:hyperlink>
      <w:r w:rsidRPr="009D0C9A">
        <w:rPr>
          <w:rFonts w:ascii="Times New Roman" w:hAnsi="Times New Roman" w:cs="Times New Roman"/>
          <w:sz w:val="24"/>
          <w:szCs w:val="24"/>
        </w:rPr>
        <w:t> и в </w:t>
      </w:r>
      <w:hyperlink r:id="rId11" w:anchor="1010" w:history="1">
        <w:r w:rsidRPr="009D0C9A">
          <w:rPr>
            <w:rStyle w:val="a3"/>
            <w:rFonts w:ascii="Times New Roman" w:hAnsi="Times New Roman" w:cs="Times New Roman"/>
            <w:sz w:val="24"/>
            <w:szCs w:val="24"/>
          </w:rPr>
          <w:t>абзаце первом пункта 10</w:t>
        </w:r>
      </w:hyperlink>
      <w:r w:rsidRPr="009D0C9A">
        <w:rPr>
          <w:rFonts w:ascii="Times New Roman" w:hAnsi="Times New Roman" w:cs="Times New Roman"/>
          <w:sz w:val="24"/>
          <w:szCs w:val="24"/>
        </w:rPr>
        <w:t> настоящего Порядка, включаются в реестр в виде информации в соответствии с </w:t>
      </w:r>
      <w:hyperlink r:id="rId12" w:anchor="1005" w:history="1">
        <w:r w:rsidRPr="009D0C9A">
          <w:rPr>
            <w:rStyle w:val="a3"/>
            <w:rFonts w:ascii="Times New Roman" w:hAnsi="Times New Roman" w:cs="Times New Roman"/>
            <w:sz w:val="24"/>
            <w:szCs w:val="24"/>
          </w:rPr>
          <w:t>пунктом 5</w:t>
        </w:r>
      </w:hyperlink>
      <w:r w:rsidRPr="009D0C9A">
        <w:rPr>
          <w:rFonts w:ascii="Times New Roman" w:hAnsi="Times New Roman" w:cs="Times New Roman"/>
          <w:sz w:val="24"/>
          <w:szCs w:val="24"/>
        </w:rPr>
        <w:t> настоящего Порядка.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Сведения, указанные в </w:t>
      </w:r>
      <w:hyperlink r:id="rId13" w:anchor="1097" w:history="1">
        <w:r w:rsidRPr="009D0C9A">
          <w:rPr>
            <w:rStyle w:val="a3"/>
            <w:rFonts w:ascii="Times New Roman" w:hAnsi="Times New Roman" w:cs="Times New Roman"/>
            <w:sz w:val="24"/>
            <w:szCs w:val="24"/>
          </w:rPr>
          <w:t>подпунктах "ж"</w:t>
        </w:r>
      </w:hyperlink>
      <w:r w:rsidRPr="009D0C9A">
        <w:rPr>
          <w:rFonts w:ascii="Times New Roman" w:hAnsi="Times New Roman" w:cs="Times New Roman"/>
          <w:sz w:val="24"/>
          <w:szCs w:val="24"/>
        </w:rPr>
        <w:t> и </w:t>
      </w:r>
      <w:hyperlink r:id="rId14" w:anchor="1098" w:history="1">
        <w:r w:rsidRPr="009D0C9A">
          <w:rPr>
            <w:rStyle w:val="a3"/>
            <w:rFonts w:ascii="Times New Roman" w:hAnsi="Times New Roman" w:cs="Times New Roman"/>
            <w:sz w:val="24"/>
            <w:szCs w:val="24"/>
          </w:rPr>
          <w:t>"з" пункта 9</w:t>
        </w:r>
      </w:hyperlink>
      <w:r w:rsidRPr="009D0C9A">
        <w:rPr>
          <w:rFonts w:ascii="Times New Roman" w:hAnsi="Times New Roman" w:cs="Times New Roman"/>
          <w:sz w:val="24"/>
          <w:szCs w:val="24"/>
        </w:rPr>
        <w:t> и </w:t>
      </w:r>
      <w:hyperlink r:id="rId15" w:anchor="10102" w:history="1">
        <w:r w:rsidRPr="009D0C9A">
          <w:rPr>
            <w:rStyle w:val="a3"/>
            <w:rFonts w:ascii="Times New Roman" w:hAnsi="Times New Roman" w:cs="Times New Roman"/>
            <w:sz w:val="24"/>
            <w:szCs w:val="24"/>
          </w:rPr>
          <w:t>абзаце втором пункта 10</w:t>
        </w:r>
      </w:hyperlink>
      <w:r w:rsidRPr="009D0C9A">
        <w:rPr>
          <w:rFonts w:ascii="Times New Roman" w:hAnsi="Times New Roman" w:cs="Times New Roman"/>
          <w:sz w:val="24"/>
          <w:szCs w:val="24"/>
        </w:rPr>
        <w:t> настоящего Порядка, включаются в реестр в виде документа в соответствии с </w:t>
      </w:r>
      <w:hyperlink r:id="rId16" w:anchor="1006" w:history="1">
        <w:r w:rsidRPr="009D0C9A">
          <w:rPr>
            <w:rStyle w:val="a3"/>
            <w:rFonts w:ascii="Times New Roman" w:hAnsi="Times New Roman" w:cs="Times New Roman"/>
            <w:sz w:val="24"/>
            <w:szCs w:val="24"/>
          </w:rPr>
          <w:t>пунктом 6</w:t>
        </w:r>
      </w:hyperlink>
      <w:r w:rsidRPr="009D0C9A">
        <w:rPr>
          <w:rFonts w:ascii="Times New Roman" w:hAnsi="Times New Roman" w:cs="Times New Roman"/>
          <w:sz w:val="24"/>
          <w:szCs w:val="24"/>
        </w:rPr>
        <w:t> настоящего Порядка.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12. При формировании информации о наименовании гаранта, наименовании заказчика, наименовании поставщика (за исключением иностранных юридических лиц и индивидуальных предпринимателей)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полное наименование гаранта, заказчика, поставщика в соответствии со сведениями Единого государственного реестра юридических лиц;</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сокращенное наименование гаранта, заказчика, поставщика (при наличии) в соответствии со сведениями Единого государственного реестра юридических лиц;</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код организационно-правовой формы гаранта, заказчика, поставщика в соответствии с Общероссийским классификатором организационно-правовых форм.</w:t>
      </w:r>
    </w:p>
    <w:p w:rsidR="009D0C9A" w:rsidRPr="009D0C9A" w:rsidRDefault="009D0C9A" w:rsidP="009D0C9A">
      <w:pPr>
        <w:rPr>
          <w:rFonts w:ascii="Times New Roman" w:hAnsi="Times New Roman" w:cs="Times New Roman"/>
          <w:sz w:val="24"/>
          <w:szCs w:val="24"/>
        </w:rPr>
      </w:pPr>
      <w:proofErr w:type="gramStart"/>
      <w:r w:rsidRPr="009D0C9A">
        <w:rPr>
          <w:rFonts w:ascii="Times New Roman" w:hAnsi="Times New Roman" w:cs="Times New Roman"/>
          <w:sz w:val="24"/>
          <w:szCs w:val="24"/>
        </w:rPr>
        <w:t>Информация о полном и сокращенном (при наличии) наименованиях гаранта, заказчика, поставщика, а также их организационно-правовой форме формируется в информационной системе автоматически после указания идентификационного номера налогоплательщика соответственно гаранта, заказчика, поставщика и соответствует сведениям Единого государственного реестра юридических лиц.</w:t>
      </w:r>
      <w:proofErr w:type="gramEnd"/>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13. При формировании информации о месте нахождения гаранта, заказчика, поставщика (за исключением иностранных юридических лиц и индивидуальных предпринимателей)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почтовый индекс;</w:t>
      </w:r>
    </w:p>
    <w:p w:rsidR="009D0C9A" w:rsidRPr="009D0C9A" w:rsidRDefault="009D0C9A" w:rsidP="009D0C9A">
      <w:pPr>
        <w:rPr>
          <w:rFonts w:ascii="Times New Roman" w:hAnsi="Times New Roman" w:cs="Times New Roman"/>
          <w:sz w:val="24"/>
          <w:szCs w:val="24"/>
        </w:rPr>
      </w:pPr>
      <w:proofErr w:type="gramStart"/>
      <w:r w:rsidRPr="009D0C9A">
        <w:rPr>
          <w:rFonts w:ascii="Times New Roman" w:hAnsi="Times New Roman" w:cs="Times New Roman"/>
          <w:sz w:val="24"/>
          <w:szCs w:val="24"/>
        </w:rPr>
        <w:t>наименование страны (Российская Федерация) и код страны в соответствии с Общероссийским классификатором стран мира;</w:t>
      </w:r>
      <w:proofErr w:type="gramEnd"/>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(Российская газета, 1993, 4 декабря; Официальный интернет-портал правовой информации http://www.pravo.gov.ru, 2020, 4 июля), и соответствующее кодовое обозначение субъекта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элемента планировочной структуры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элемента улично-дорожной сети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тип и номер здания, сооружения;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тип и номер помещения, расположенного в здании или сооружении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Информация о месте нахождения гаранта, заказчика, поставщика формируется в информационной системе автоматически после указания идентификационного номера налогоплательщика соответственно гаранта, заказчика, поставщика и соответствует сведениям Единого государственного реестра юридических лиц.</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14. Информация, предусмотренная </w:t>
      </w:r>
      <w:hyperlink r:id="rId17" w:anchor="1012" w:history="1">
        <w:r w:rsidRPr="009D0C9A">
          <w:rPr>
            <w:rStyle w:val="a3"/>
            <w:rFonts w:ascii="Times New Roman" w:hAnsi="Times New Roman" w:cs="Times New Roman"/>
            <w:sz w:val="24"/>
            <w:szCs w:val="24"/>
          </w:rPr>
          <w:t>пунктами 12</w:t>
        </w:r>
      </w:hyperlink>
      <w:r w:rsidRPr="009D0C9A">
        <w:rPr>
          <w:rFonts w:ascii="Times New Roman" w:hAnsi="Times New Roman" w:cs="Times New Roman"/>
          <w:sz w:val="24"/>
          <w:szCs w:val="24"/>
        </w:rPr>
        <w:t> и </w:t>
      </w:r>
      <w:hyperlink r:id="rId18" w:anchor="1013" w:history="1">
        <w:r w:rsidRPr="009D0C9A">
          <w:rPr>
            <w:rStyle w:val="a3"/>
            <w:rFonts w:ascii="Times New Roman" w:hAnsi="Times New Roman" w:cs="Times New Roman"/>
            <w:sz w:val="24"/>
            <w:szCs w:val="24"/>
          </w:rPr>
          <w:t>13</w:t>
        </w:r>
      </w:hyperlink>
      <w:r w:rsidRPr="009D0C9A">
        <w:rPr>
          <w:rFonts w:ascii="Times New Roman" w:hAnsi="Times New Roman" w:cs="Times New Roman"/>
          <w:sz w:val="24"/>
          <w:szCs w:val="24"/>
        </w:rPr>
        <w:t> настоящего Порядка, в отношении гаранта, являющегося Евразийским банком развития, формируется в соответствии со сведениями, содержащимися в федеральной государственной информационной системе "Единая система идентификац</w:t>
      </w:r>
      <w:proofErr w:type="gramStart"/>
      <w:r w:rsidRPr="009D0C9A">
        <w:rPr>
          <w:rFonts w:ascii="Times New Roman" w:hAnsi="Times New Roman" w:cs="Times New Roman"/>
          <w:sz w:val="24"/>
          <w:szCs w:val="24"/>
        </w:rPr>
        <w:t>ии и ау</w:t>
      </w:r>
      <w:proofErr w:type="gramEnd"/>
      <w:r w:rsidRPr="009D0C9A">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15. При формировании информации об идентификационном номере налогоплательщика гаранта, заказчика, поставщика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идентификационный номер налогоплательщика </w:t>
      </w:r>
      <w:proofErr w:type="gramStart"/>
      <w:r w:rsidRPr="009D0C9A">
        <w:rPr>
          <w:rFonts w:ascii="Times New Roman" w:hAnsi="Times New Roman" w:cs="Times New Roman"/>
          <w:sz w:val="24"/>
          <w:szCs w:val="24"/>
        </w:rPr>
        <w:t>в соответствии со свидетельством о постановке на учет в налоговом органе</w:t>
      </w:r>
      <w:proofErr w:type="gramEnd"/>
      <w:r w:rsidRPr="009D0C9A">
        <w:rPr>
          <w:rFonts w:ascii="Times New Roman" w:hAnsi="Times New Roman" w:cs="Times New Roman"/>
          <w:sz w:val="24"/>
          <w:szCs w:val="24"/>
        </w:rPr>
        <w:t>;</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код причины и дата постановки </w:t>
      </w:r>
      <w:proofErr w:type="gramStart"/>
      <w:r w:rsidRPr="009D0C9A">
        <w:rPr>
          <w:rFonts w:ascii="Times New Roman" w:hAnsi="Times New Roman" w:cs="Times New Roman"/>
          <w:sz w:val="24"/>
          <w:szCs w:val="24"/>
        </w:rPr>
        <w:t>на учет в налоговом органе в соответствии со свидетельством о постановке</w:t>
      </w:r>
      <w:proofErr w:type="gramEnd"/>
      <w:r w:rsidRPr="009D0C9A">
        <w:rPr>
          <w:rFonts w:ascii="Times New Roman" w:hAnsi="Times New Roman" w:cs="Times New Roman"/>
          <w:sz w:val="24"/>
          <w:szCs w:val="24"/>
        </w:rPr>
        <w:t xml:space="preserve"> на учет в налоговом органе.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 xml:space="preserve">В случае если поставщик </w:t>
      </w:r>
      <w:proofErr w:type="gramStart"/>
      <w:r w:rsidRPr="009D0C9A">
        <w:rPr>
          <w:rFonts w:ascii="Times New Roman" w:hAnsi="Times New Roman" w:cs="Times New Roman"/>
          <w:sz w:val="24"/>
          <w:szCs w:val="24"/>
        </w:rPr>
        <w:t>является иностранным юридическим лицом указывается</w:t>
      </w:r>
      <w:proofErr w:type="gramEnd"/>
      <w:r w:rsidRPr="009D0C9A">
        <w:rPr>
          <w:rFonts w:ascii="Times New Roman" w:hAnsi="Times New Roman" w:cs="Times New Roman"/>
          <w:sz w:val="24"/>
          <w:szCs w:val="24"/>
        </w:rPr>
        <w:t xml:space="preserve"> аналог идентификационного номера налогоплательщика в соответствии с законодательством иностранного государства.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16. При формировании информации о наименовании поставщика, являющегося иностранным юридическим лицом, указывается полное наименование иностранного юридического лица на русском языке.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Дополнительно полное наименование иностранного юридического лица может указываться с использованием букв латинского алфавита.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17. При формировании информации о месте нахождения поставщика,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почтовый индекс;</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элементов административного устройства страны регистрации иностранного юридического лица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населенного пункта;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элемента планировочной структуры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элемента улично-дорожной сети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тип и номер здания, сооружения;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тип и номер помещения, расположенного в здании или сооружении.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При налич</w:t>
      </w:r>
      <w:proofErr w:type="gramStart"/>
      <w:r w:rsidRPr="009D0C9A">
        <w:rPr>
          <w:rFonts w:ascii="Times New Roman" w:hAnsi="Times New Roman" w:cs="Times New Roman"/>
          <w:sz w:val="24"/>
          <w:szCs w:val="24"/>
        </w:rPr>
        <w:t>ии у и</w:t>
      </w:r>
      <w:proofErr w:type="gramEnd"/>
      <w:r w:rsidRPr="009D0C9A">
        <w:rPr>
          <w:rFonts w:ascii="Times New Roman" w:hAnsi="Times New Roman" w:cs="Times New Roman"/>
          <w:sz w:val="24"/>
          <w:szCs w:val="24"/>
        </w:rPr>
        <w:t>ностранного юридического лица места пребывания на территории Российской Федерации дополнительно указываются следующие сведения о месте пребывания иностранного юридического лица на территории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почтовый индекс;</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страны (Российская Федерация) и код страны в соответствии с Общероссийским классификатором стран мира;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элемента планировочной структуры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элемента улично-дорожной сети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тип и номер здания, сооружения;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тип и номер помещения, расположенного в здании или сооружении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18.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юридическим лицом,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для иностранных юридических лиц, состоящих на учете в налоговых органах на территории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идентификационный номер налогоплательщика </w:t>
      </w:r>
      <w:proofErr w:type="gramStart"/>
      <w:r w:rsidRPr="009D0C9A">
        <w:rPr>
          <w:rFonts w:ascii="Times New Roman" w:hAnsi="Times New Roman" w:cs="Times New Roman"/>
          <w:sz w:val="24"/>
          <w:szCs w:val="24"/>
        </w:rPr>
        <w:t>в соответствии со свидетельством о постановке на учет в налоговом органе</w:t>
      </w:r>
      <w:proofErr w:type="gramEnd"/>
      <w:r w:rsidRPr="009D0C9A">
        <w:rPr>
          <w:rFonts w:ascii="Times New Roman" w:hAnsi="Times New Roman" w:cs="Times New Roman"/>
          <w:sz w:val="24"/>
          <w:szCs w:val="24"/>
        </w:rPr>
        <w:t>;</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код причины и дата постановки </w:t>
      </w:r>
      <w:proofErr w:type="gramStart"/>
      <w:r w:rsidRPr="009D0C9A">
        <w:rPr>
          <w:rFonts w:ascii="Times New Roman" w:hAnsi="Times New Roman" w:cs="Times New Roman"/>
          <w:sz w:val="24"/>
          <w:szCs w:val="24"/>
        </w:rPr>
        <w:t>на учет в налоговом органе в соответствии со свидетельством о постановке</w:t>
      </w:r>
      <w:proofErr w:type="gramEnd"/>
      <w:r w:rsidRPr="009D0C9A">
        <w:rPr>
          <w:rFonts w:ascii="Times New Roman" w:hAnsi="Times New Roman" w:cs="Times New Roman"/>
          <w:sz w:val="24"/>
          <w:szCs w:val="24"/>
        </w:rPr>
        <w:t xml:space="preserve"> на учет в налоговом органе;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код налогоплательщика в стране регистрации или его аналог;</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для иностранных юридических лиц, не состоящих на учете в налоговых органах на территории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код налогоплательщика в стране регистрации или его аналог.</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19. При формировании информации о наименовании поставщика, являющегося индивидуальным предпринимателем, указываются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Информация о наименовании поставщика,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и соответствует сведениям Единого государственного реестра индивидуальных предпринимателей.</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20. При формировании информации об идентификационном номере налогоплательщика поставщика, являющегося индивидуальным предпринимателем,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 xml:space="preserve">идентификационный номер налогоплательщика индивидуального предпринимателя </w:t>
      </w:r>
      <w:proofErr w:type="gramStart"/>
      <w:r w:rsidRPr="009D0C9A">
        <w:rPr>
          <w:rFonts w:ascii="Times New Roman" w:hAnsi="Times New Roman" w:cs="Times New Roman"/>
          <w:sz w:val="24"/>
          <w:szCs w:val="24"/>
        </w:rPr>
        <w:t>в соответствии со свидетельством о постановке на учет в налоговом органе</w:t>
      </w:r>
      <w:proofErr w:type="gramEnd"/>
      <w:r w:rsidRPr="009D0C9A">
        <w:rPr>
          <w:rFonts w:ascii="Times New Roman" w:hAnsi="Times New Roman" w:cs="Times New Roman"/>
          <w:sz w:val="24"/>
          <w:szCs w:val="24"/>
        </w:rPr>
        <w:t>;</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дата постановки </w:t>
      </w:r>
      <w:proofErr w:type="gramStart"/>
      <w:r w:rsidRPr="009D0C9A">
        <w:rPr>
          <w:rFonts w:ascii="Times New Roman" w:hAnsi="Times New Roman" w:cs="Times New Roman"/>
          <w:sz w:val="24"/>
          <w:szCs w:val="24"/>
        </w:rPr>
        <w:t>на учет индивидуального предпринимателя в соответствии со свидетельством о постановке на учет</w:t>
      </w:r>
      <w:proofErr w:type="gramEnd"/>
      <w:r w:rsidRPr="009D0C9A">
        <w:rPr>
          <w:rFonts w:ascii="Times New Roman" w:hAnsi="Times New Roman" w:cs="Times New Roman"/>
          <w:sz w:val="24"/>
          <w:szCs w:val="24"/>
        </w:rPr>
        <w:t xml:space="preserve"> в налоговом органе.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21. При формировании информации о денежной сумме, указанной в независимой гарантии и подлежащей уплате гарантом в случае неисполнения поставщиком в установленных случаях требований Федерального закона "О контрактной системе в сфере закупок товаров, работ, услуг для обеспечения государственных и муниципальных нужд",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наименование и код валюты, в которой указывается денежная сумма, в соответствии с Общероссийским классификатором валют;</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размер денежной суммы в единице валюты с точностью до сотого знака после запятой.</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В случае указания денежной суммы в иностранной валюте дополнительно указывается следующая информация: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курс иностранной валюты по отношению к рублю на дату выдачи независимой гарантии, установленный Центральным банком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размер денежной суммы, указанной в иностранной валюте, в рублевом эквиваленте.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Информация о курсе иностранной валюты по отношению к рублю на дату заключения независимой гарантии формируется в информационной системе автоматически на основании сведений Министерства финансов Российской Федерации о курсах иностранных валют, предоставляемых Министерству финансов Российской Федерации Центральным банком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Информация о размере денежной суммы, указанной в иностранной валюте, в рублевом эквиваленте, формируется в информационной системе автоматически как произведение размера денежной суммы в единице валюты и курса иностранной валюты по отношению к рублю на дату выдачи независимой гарантии, установленного Центральным банком Российской Федерации.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22. При формировании информации о сроке действия независимой гарантии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дата выдачи независимой гарантии;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дата (порядок) вступления в силу независимой гарантии;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дата окончания срока действия независимой гарантии.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Дата указывается в формате ДД.ММ</w:t>
      </w:r>
      <w:proofErr w:type="gramStart"/>
      <w:r w:rsidRPr="009D0C9A">
        <w:rPr>
          <w:rFonts w:ascii="Times New Roman" w:hAnsi="Times New Roman" w:cs="Times New Roman"/>
          <w:sz w:val="24"/>
          <w:szCs w:val="24"/>
        </w:rPr>
        <w:t>.Г</w:t>
      </w:r>
      <w:proofErr w:type="gramEnd"/>
      <w:r w:rsidRPr="009D0C9A">
        <w:rPr>
          <w:rFonts w:ascii="Times New Roman" w:hAnsi="Times New Roman" w:cs="Times New Roman"/>
          <w:sz w:val="24"/>
          <w:szCs w:val="24"/>
        </w:rPr>
        <w:t>ГГГ.</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23. При формировании информации об идентификационном коде закупки указывается идентификационный код закупки, сформированный в установленном порядке.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случае их размещения в единой информационной системе).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24. При формировании информации об отказе заказчика в принятии независимой гарантии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причина, послужившая основанием для отказа в принятии независимой гарантии в соответствии с частью 6 статьи 45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w:t>
      </w:r>
      <w:proofErr w:type="gramStart"/>
      <w:r w:rsidRPr="009D0C9A">
        <w:rPr>
          <w:rFonts w:ascii="Times New Roman" w:hAnsi="Times New Roman" w:cs="Times New Roman"/>
          <w:sz w:val="24"/>
          <w:szCs w:val="24"/>
        </w:rPr>
        <w:t>2021, № 27, ст. 5188), а также код причины отказа в принятии независимой гарантии в соответствии с </w:t>
      </w:r>
      <w:hyperlink r:id="rId19" w:anchor="11000" w:history="1">
        <w:r w:rsidRPr="009D0C9A">
          <w:rPr>
            <w:rStyle w:val="a3"/>
            <w:rFonts w:ascii="Times New Roman" w:hAnsi="Times New Roman" w:cs="Times New Roman"/>
            <w:sz w:val="24"/>
            <w:szCs w:val="24"/>
          </w:rPr>
          <w:t>приложением</w:t>
        </w:r>
      </w:hyperlink>
      <w:r w:rsidRPr="009D0C9A">
        <w:rPr>
          <w:rFonts w:ascii="Times New Roman" w:hAnsi="Times New Roman" w:cs="Times New Roman"/>
          <w:sz w:val="24"/>
          <w:szCs w:val="24"/>
        </w:rPr>
        <w:t> к настоящему Порядку;</w:t>
      </w:r>
      <w:proofErr w:type="gramEnd"/>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номер и дата документа заказчика, составленного в письменной форме или форме электронного документа, содержащего информацию об отказе в принятии независимой гарантии;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Дата указывается в формате ДД.ММ</w:t>
      </w:r>
      <w:proofErr w:type="gramStart"/>
      <w:r w:rsidRPr="009D0C9A">
        <w:rPr>
          <w:rFonts w:ascii="Times New Roman" w:hAnsi="Times New Roman" w:cs="Times New Roman"/>
          <w:sz w:val="24"/>
          <w:szCs w:val="24"/>
        </w:rPr>
        <w:t>.Г</w:t>
      </w:r>
      <w:proofErr w:type="gramEnd"/>
      <w:r w:rsidRPr="009D0C9A">
        <w:rPr>
          <w:rFonts w:ascii="Times New Roman" w:hAnsi="Times New Roman" w:cs="Times New Roman"/>
          <w:sz w:val="24"/>
          <w:szCs w:val="24"/>
        </w:rPr>
        <w:t>ПТ.</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Информация о причине, послужившей основанием для отказа в принятии независимой гарантии, формируется в информационной системе автоматически после указания кода причины отказа в принятии независимой гарантии в соответствии с </w:t>
      </w:r>
      <w:hyperlink r:id="rId20" w:anchor="11000" w:history="1">
        <w:r w:rsidRPr="009D0C9A">
          <w:rPr>
            <w:rStyle w:val="a3"/>
            <w:rFonts w:ascii="Times New Roman" w:hAnsi="Times New Roman" w:cs="Times New Roman"/>
            <w:sz w:val="24"/>
            <w:szCs w:val="24"/>
          </w:rPr>
          <w:t>приложением</w:t>
        </w:r>
      </w:hyperlink>
      <w:r w:rsidRPr="009D0C9A">
        <w:rPr>
          <w:rFonts w:ascii="Times New Roman" w:hAnsi="Times New Roman" w:cs="Times New Roman"/>
          <w:sz w:val="24"/>
          <w:szCs w:val="24"/>
        </w:rPr>
        <w:t> к настоящему Порядку.</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24.1. При формировании информации о прекращении обязательств поставщика, обеспеченных независимой гарантией, указывается дата прекращения обязательств поставщика, обеспеченных независимой гарантией.</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Информация о прекращении обязательств поставщика, обеспеченных независимой гарантией, формируется в информационной системе автоматически на основании информации реестра контрактов, заключенных заказчиками, порядок </w:t>
      </w:r>
      <w:proofErr w:type="gramStart"/>
      <w:r w:rsidRPr="009D0C9A">
        <w:rPr>
          <w:rFonts w:ascii="Times New Roman" w:hAnsi="Times New Roman" w:cs="Times New Roman"/>
          <w:sz w:val="24"/>
          <w:szCs w:val="24"/>
        </w:rPr>
        <w:t>ведения</w:t>
      </w:r>
      <w:proofErr w:type="gramEnd"/>
      <w:r w:rsidRPr="009D0C9A">
        <w:rPr>
          <w:rFonts w:ascii="Times New Roman" w:hAnsi="Times New Roman" w:cs="Times New Roman"/>
          <w:sz w:val="24"/>
          <w:szCs w:val="24"/>
        </w:rPr>
        <w:t xml:space="preserve"> которого установлен частью 6 статьи 103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w:t>
      </w:r>
      <w:proofErr w:type="gramStart"/>
      <w:r w:rsidRPr="009D0C9A">
        <w:rPr>
          <w:rFonts w:ascii="Times New Roman" w:hAnsi="Times New Roman" w:cs="Times New Roman"/>
          <w:sz w:val="24"/>
          <w:szCs w:val="24"/>
        </w:rPr>
        <w:t>2021, № 27, ст. 5188) (далее - Правила ведения реестра контрактов, заключенных заказчиками).</w:t>
      </w:r>
      <w:proofErr w:type="gramEnd"/>
      <w:r w:rsidRPr="009D0C9A">
        <w:rPr>
          <w:rFonts w:ascii="Times New Roman" w:hAnsi="Times New Roman" w:cs="Times New Roman"/>
          <w:sz w:val="24"/>
          <w:szCs w:val="24"/>
        </w:rPr>
        <w:t xml:space="preserve"> В случае если предусмотренная настоящим абзацем информация о контракте, обязательства по которому обеспечены независимой гарантией, не подлежит включению в реестр контрактов, заключенных заказчиками, такая информация формируется заказчиком самостоятельно на основании сведений о контрактах, не подлежащих включению в реестр контрактов.</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24.2. При формировании информации о возвращении независимой гарантии гаранту или об уведомлении, направляемом заказчиком гаранту, об отказе от прав (от части прав) по гарантии указываются следующие сведения: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дата возвращения заказчиком независимой гарантии гаранту или дата уведомления, направленного заказчиком гаранту, об отказе от прав по независимой гарантии;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номер уведомления, направленного заказчиком гаранту, об отказе от прав (от части прав) по гарантии (при наличии);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причина возвращения заказчиком независимой гарантии гаранту или направления заказчиком уведомления гаранту об отказе от прав (от части прав) по независимой гарантии.</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Дата указывается в формате ДД.ММ</w:t>
      </w:r>
      <w:proofErr w:type="gramStart"/>
      <w:r w:rsidRPr="009D0C9A">
        <w:rPr>
          <w:rFonts w:ascii="Times New Roman" w:hAnsi="Times New Roman" w:cs="Times New Roman"/>
          <w:sz w:val="24"/>
          <w:szCs w:val="24"/>
        </w:rPr>
        <w:t>.Г</w:t>
      </w:r>
      <w:proofErr w:type="gramEnd"/>
      <w:r w:rsidRPr="009D0C9A">
        <w:rPr>
          <w:rFonts w:ascii="Times New Roman" w:hAnsi="Times New Roman" w:cs="Times New Roman"/>
          <w:sz w:val="24"/>
          <w:szCs w:val="24"/>
        </w:rPr>
        <w:t>ГГГ.</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Информация о возвращении независимой гарантии гаранту или об уведомлении, направляемом заказчиком гаранту, об отказе от прав (от части прав) по гарантии формируется в информационной системе автоматически на основании информации реестра контрактов, заключенных заказчиками, порядок </w:t>
      </w:r>
      <w:proofErr w:type="gramStart"/>
      <w:r w:rsidRPr="009D0C9A">
        <w:rPr>
          <w:rFonts w:ascii="Times New Roman" w:hAnsi="Times New Roman" w:cs="Times New Roman"/>
          <w:sz w:val="24"/>
          <w:szCs w:val="24"/>
        </w:rPr>
        <w:t>ведения</w:t>
      </w:r>
      <w:proofErr w:type="gramEnd"/>
      <w:r w:rsidRPr="009D0C9A">
        <w:rPr>
          <w:rFonts w:ascii="Times New Roman" w:hAnsi="Times New Roman" w:cs="Times New Roman"/>
          <w:sz w:val="24"/>
          <w:szCs w:val="24"/>
        </w:rPr>
        <w:t xml:space="preserve"> которого установлен Правилами ведения реестра контрактов, заключенных заказчиками. В случае если предусмотренная настоящим абзацем информация о контракте, обязательства по которому обеспечены независимой гарантией, не подлежит включению в реестр контрактов, заключенных заказчиками, такая информация формируется заказчиком самостоятельно на основании сведений о контрактах, не подлежащих включению в реестр контрактов.</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25. При формировании гарантом и заказчиком информации и документов, предусматривающих изменение (дополнение) реестровой записи реестра, гарант и заказчик обеспечивают указание уникального номера реестровой записи реестра, в которую вносятся изменения (дополнения) в формате структуры уникального номера реестровой записи реестра.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26. После присвоения Федеральным казначейством реестровой записи реестра уникального номера и размещения ее в информационной системе гарантом формируется выписка из реестра.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Выписка из реестра формируется в информационной системе автоматически на основании информации, включенной в реестровую запись реестра, и содержит:</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информацию, включенную в реестровую запись реестра, сформированную в соответствии с настоящим Порядком;</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уникальный номер реестровой записи реестра в формате структуры уникального номера реестровой записи реестра;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дату присвоения уникального номера реестровой записи реестра;</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дату размещения реестровой записи в составе реестра в информационной системе.</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Дата указывается в формате ДД.ММ</w:t>
      </w:r>
      <w:proofErr w:type="gramStart"/>
      <w:r w:rsidRPr="009D0C9A">
        <w:rPr>
          <w:rFonts w:ascii="Times New Roman" w:hAnsi="Times New Roman" w:cs="Times New Roman"/>
          <w:sz w:val="24"/>
          <w:szCs w:val="24"/>
        </w:rPr>
        <w:t>.Г</w:t>
      </w:r>
      <w:proofErr w:type="gramEnd"/>
      <w:r w:rsidRPr="009D0C9A">
        <w:rPr>
          <w:rFonts w:ascii="Times New Roman" w:hAnsi="Times New Roman" w:cs="Times New Roman"/>
          <w:sz w:val="24"/>
          <w:szCs w:val="24"/>
        </w:rPr>
        <w:t>ГГГ.</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Гарант осуществляет распечатку выписки из реестра из информационной системы, подписывает ее уполномоченным лицом от имени гаранта и скрепляет печатью гаранта. Допускается представление гарантом выписки в виде электронной копии, созданной посредством ее сканирования.</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vertAlign w:val="superscript"/>
        </w:rPr>
        <w:lastRenderedPageBreak/>
        <w:t>1</w:t>
      </w:r>
      <w:r w:rsidRPr="009D0C9A">
        <w:rPr>
          <w:rFonts w:ascii="Times New Roman" w:hAnsi="Times New Roman" w:cs="Times New Roman"/>
          <w:sz w:val="24"/>
          <w:szCs w:val="24"/>
        </w:rPr>
        <w:t xml:space="preserve"> Пункт 1 части 1 статьи 45 Федерального закона "О контрактной системе в сфере закупок товаров, работ, услуг </w:t>
      </w:r>
      <w:proofErr w:type="spellStart"/>
      <w:r w:rsidRPr="009D0C9A">
        <w:rPr>
          <w:rFonts w:ascii="Times New Roman" w:hAnsi="Times New Roman" w:cs="Times New Roman"/>
          <w:sz w:val="24"/>
          <w:szCs w:val="24"/>
        </w:rPr>
        <w:t>дляобеспечения</w:t>
      </w:r>
      <w:proofErr w:type="spellEnd"/>
      <w:r w:rsidRPr="009D0C9A">
        <w:rPr>
          <w:rFonts w:ascii="Times New Roman" w:hAnsi="Times New Roman" w:cs="Times New Roman"/>
          <w:sz w:val="24"/>
          <w:szCs w:val="24"/>
        </w:rPr>
        <w:t xml:space="preserve"> государственных и муниципальных нужд (Собрание законодательства Российской Федерации, 2013, №14, ст. 1652, 2021, № 27, ст. 5188).</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vertAlign w:val="superscript"/>
        </w:rPr>
        <w:t>2</w:t>
      </w:r>
      <w:r w:rsidRPr="009D0C9A">
        <w:rPr>
          <w:rFonts w:ascii="Times New Roman" w:hAnsi="Times New Roman" w:cs="Times New Roman"/>
          <w:sz w:val="24"/>
          <w:szCs w:val="24"/>
        </w:rPr>
        <w:t> Пункт 3 части 1 статьи 45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2021, № 27, ст. 5188).</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w:t>
      </w:r>
    </w:p>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Приложение</w:t>
      </w:r>
      <w:r w:rsidRPr="009D0C9A">
        <w:rPr>
          <w:rFonts w:ascii="Times New Roman" w:hAnsi="Times New Roman" w:cs="Times New Roman"/>
          <w:sz w:val="24"/>
          <w:szCs w:val="24"/>
        </w:rPr>
        <w:br/>
        <w:t>к </w:t>
      </w:r>
      <w:hyperlink r:id="rId21" w:anchor="1000" w:history="1">
        <w:r w:rsidRPr="009D0C9A">
          <w:rPr>
            <w:rStyle w:val="a3"/>
            <w:rFonts w:ascii="Times New Roman" w:hAnsi="Times New Roman" w:cs="Times New Roman"/>
            <w:sz w:val="24"/>
            <w:szCs w:val="24"/>
          </w:rPr>
          <w:t>Порядку</w:t>
        </w:r>
      </w:hyperlink>
      <w:r w:rsidRPr="009D0C9A">
        <w:rPr>
          <w:rFonts w:ascii="Times New Roman" w:hAnsi="Times New Roman" w:cs="Times New Roman"/>
          <w:sz w:val="24"/>
          <w:szCs w:val="24"/>
        </w:rPr>
        <w:t> формирования информации</w:t>
      </w:r>
      <w:r w:rsidRPr="009D0C9A">
        <w:rPr>
          <w:rFonts w:ascii="Times New Roman" w:hAnsi="Times New Roman" w:cs="Times New Roman"/>
          <w:sz w:val="24"/>
          <w:szCs w:val="24"/>
        </w:rPr>
        <w:br/>
        <w:t>и документов, включаемых в реестр</w:t>
      </w:r>
      <w:r w:rsidRPr="009D0C9A">
        <w:rPr>
          <w:rFonts w:ascii="Times New Roman" w:hAnsi="Times New Roman" w:cs="Times New Roman"/>
          <w:sz w:val="24"/>
          <w:szCs w:val="24"/>
        </w:rPr>
        <w:br/>
        <w:t>независимых гарантий, в том числе с</w:t>
      </w:r>
      <w:r w:rsidRPr="009D0C9A">
        <w:rPr>
          <w:rFonts w:ascii="Times New Roman" w:hAnsi="Times New Roman" w:cs="Times New Roman"/>
          <w:sz w:val="24"/>
          <w:szCs w:val="24"/>
        </w:rPr>
        <w:br/>
        <w:t>применением справочников, реестров и</w:t>
      </w:r>
      <w:r w:rsidRPr="009D0C9A">
        <w:rPr>
          <w:rFonts w:ascii="Times New Roman" w:hAnsi="Times New Roman" w:cs="Times New Roman"/>
          <w:sz w:val="24"/>
          <w:szCs w:val="24"/>
        </w:rPr>
        <w:br/>
        <w:t>классификаторов, используемых в</w:t>
      </w:r>
      <w:r w:rsidRPr="009D0C9A">
        <w:rPr>
          <w:rFonts w:ascii="Times New Roman" w:hAnsi="Times New Roman" w:cs="Times New Roman"/>
          <w:sz w:val="24"/>
          <w:szCs w:val="24"/>
        </w:rPr>
        <w:br/>
        <w:t>информационных системах в сфере</w:t>
      </w:r>
      <w:r w:rsidRPr="009D0C9A">
        <w:rPr>
          <w:rFonts w:ascii="Times New Roman" w:hAnsi="Times New Roman" w:cs="Times New Roman"/>
          <w:sz w:val="24"/>
          <w:szCs w:val="24"/>
        </w:rPr>
        <w:br/>
        <w:t>управления государственными и</w:t>
      </w:r>
      <w:r w:rsidRPr="009D0C9A">
        <w:rPr>
          <w:rFonts w:ascii="Times New Roman" w:hAnsi="Times New Roman" w:cs="Times New Roman"/>
          <w:sz w:val="24"/>
          <w:szCs w:val="24"/>
        </w:rPr>
        <w:br/>
        <w:t>муниципальными финансами,</w:t>
      </w:r>
      <w:r w:rsidRPr="009D0C9A">
        <w:rPr>
          <w:rFonts w:ascii="Times New Roman" w:hAnsi="Times New Roman" w:cs="Times New Roman"/>
          <w:sz w:val="24"/>
          <w:szCs w:val="24"/>
        </w:rPr>
        <w:br/>
        <w:t>утвержденному</w:t>
      </w:r>
      <w:r w:rsidRPr="009D0C9A">
        <w:rPr>
          <w:rFonts w:ascii="Times New Roman" w:hAnsi="Times New Roman" w:cs="Times New Roman"/>
          <w:sz w:val="24"/>
          <w:szCs w:val="24"/>
        </w:rPr>
        <w:br/>
      </w:r>
      <w:hyperlink r:id="rId22" w:anchor="0" w:history="1">
        <w:r w:rsidRPr="009D0C9A">
          <w:rPr>
            <w:rStyle w:val="a3"/>
            <w:rFonts w:ascii="Times New Roman" w:hAnsi="Times New Roman" w:cs="Times New Roman"/>
            <w:sz w:val="24"/>
            <w:szCs w:val="24"/>
          </w:rPr>
          <w:t>приказом</w:t>
        </w:r>
      </w:hyperlink>
      <w:r w:rsidRPr="009D0C9A">
        <w:rPr>
          <w:rFonts w:ascii="Times New Roman" w:hAnsi="Times New Roman" w:cs="Times New Roman"/>
          <w:sz w:val="24"/>
          <w:szCs w:val="24"/>
        </w:rPr>
        <w:t> Министерства финансов</w:t>
      </w:r>
      <w:r w:rsidRPr="009D0C9A">
        <w:rPr>
          <w:rFonts w:ascii="Times New Roman" w:hAnsi="Times New Roman" w:cs="Times New Roman"/>
          <w:sz w:val="24"/>
          <w:szCs w:val="24"/>
        </w:rPr>
        <w:br/>
        <w:t>Российской Федерации</w:t>
      </w:r>
      <w:r w:rsidRPr="009D0C9A">
        <w:rPr>
          <w:rFonts w:ascii="Times New Roman" w:hAnsi="Times New Roman" w:cs="Times New Roman"/>
          <w:sz w:val="24"/>
          <w:szCs w:val="24"/>
        </w:rPr>
        <w:br/>
        <w:t>от 24.12.2021 г. № 225н</w:t>
      </w:r>
    </w:p>
    <w:p w:rsidR="009D0C9A" w:rsidRPr="009D0C9A" w:rsidRDefault="009D0C9A" w:rsidP="009D0C9A">
      <w:pPr>
        <w:rPr>
          <w:rFonts w:ascii="Times New Roman" w:hAnsi="Times New Roman" w:cs="Times New Roman"/>
          <w:b/>
          <w:bCs/>
          <w:sz w:val="24"/>
          <w:szCs w:val="24"/>
        </w:rPr>
      </w:pPr>
      <w:r w:rsidRPr="009D0C9A">
        <w:rPr>
          <w:rFonts w:ascii="Times New Roman" w:hAnsi="Times New Roman" w:cs="Times New Roman"/>
          <w:b/>
          <w:bCs/>
          <w:sz w:val="24"/>
          <w:szCs w:val="24"/>
        </w:rPr>
        <w:t>Коды причины отказа заказчика в принятии независимой гарантии</w:t>
      </w:r>
    </w:p>
    <w:tbl>
      <w:tblPr>
        <w:tblW w:w="0" w:type="auto"/>
        <w:tblCellMar>
          <w:top w:w="15" w:type="dxa"/>
          <w:left w:w="15" w:type="dxa"/>
          <w:bottom w:w="15" w:type="dxa"/>
          <w:right w:w="15" w:type="dxa"/>
        </w:tblCellMar>
        <w:tblLook w:val="04A0" w:firstRow="1" w:lastRow="0" w:firstColumn="1" w:lastColumn="0" w:noHBand="0" w:noVBand="1"/>
      </w:tblPr>
      <w:tblGrid>
        <w:gridCol w:w="8248"/>
        <w:gridCol w:w="1137"/>
      </w:tblGrid>
      <w:tr w:rsidR="009D0C9A" w:rsidRPr="009D0C9A" w:rsidTr="009D0C9A">
        <w:tc>
          <w:tcPr>
            <w:tcW w:w="0" w:type="auto"/>
            <w:hideMark/>
          </w:tcPr>
          <w:p w:rsidR="009D0C9A" w:rsidRPr="009D0C9A" w:rsidRDefault="009D0C9A" w:rsidP="009D0C9A">
            <w:pPr>
              <w:rPr>
                <w:rFonts w:ascii="Times New Roman" w:hAnsi="Times New Roman" w:cs="Times New Roman"/>
                <w:b/>
                <w:bCs/>
                <w:sz w:val="24"/>
                <w:szCs w:val="24"/>
              </w:rPr>
            </w:pPr>
            <w:r w:rsidRPr="009D0C9A">
              <w:rPr>
                <w:rFonts w:ascii="Times New Roman" w:hAnsi="Times New Roman" w:cs="Times New Roman"/>
                <w:b/>
                <w:bCs/>
                <w:sz w:val="24"/>
                <w:szCs w:val="24"/>
              </w:rPr>
              <w:t>Причина отказа заказчика в принятии независимой гарантии</w:t>
            </w:r>
          </w:p>
        </w:tc>
        <w:tc>
          <w:tcPr>
            <w:tcW w:w="0" w:type="auto"/>
            <w:hideMark/>
          </w:tcPr>
          <w:p w:rsidR="009D0C9A" w:rsidRPr="009D0C9A" w:rsidRDefault="009D0C9A" w:rsidP="009D0C9A">
            <w:pPr>
              <w:rPr>
                <w:rFonts w:ascii="Times New Roman" w:hAnsi="Times New Roman" w:cs="Times New Roman"/>
                <w:b/>
                <w:bCs/>
                <w:sz w:val="24"/>
                <w:szCs w:val="24"/>
              </w:rPr>
            </w:pPr>
            <w:r w:rsidRPr="009D0C9A">
              <w:rPr>
                <w:rFonts w:ascii="Times New Roman" w:hAnsi="Times New Roman" w:cs="Times New Roman"/>
                <w:b/>
                <w:bCs/>
                <w:sz w:val="24"/>
                <w:szCs w:val="24"/>
              </w:rPr>
              <w:t>Код причины</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proofErr w:type="gramStart"/>
            <w:r w:rsidRPr="009D0C9A">
              <w:rPr>
                <w:rFonts w:ascii="Times New Roman" w:hAnsi="Times New Roman" w:cs="Times New Roman"/>
                <w:sz w:val="24"/>
                <w:szCs w:val="24"/>
              </w:rPr>
              <w:t>Несоответствие независимой гарантии условиям, указанным в части 2 статьи 45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2021, № 27, ст. 5188) (далее - Федеральный закон) в части отсутствия в независимой гарантии:</w:t>
            </w:r>
            <w:proofErr w:type="gramEnd"/>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proofErr w:type="gramStart"/>
            <w:r w:rsidRPr="009D0C9A">
              <w:rPr>
                <w:rFonts w:ascii="Times New Roman" w:hAnsi="Times New Roman" w:cs="Times New Roman"/>
                <w:sz w:val="24"/>
                <w:szCs w:val="24"/>
              </w:rPr>
              <w:t>суммы независимой гарантии, подлежащей уплате гарантом заказчику в установленных частью 15 статьи 44 Федерального закона (Собрание законодательства Российской Федерации, 2013, № 14, ст. 1652; 2021, № 27, ст. 5188) случаях, или суммы независимой гарантии, подлежащей уплате гарантом заказчику в случае ненадлежащего исполнения обязательств принципалом в соответствии со статьей 96 Федерального закона (Собрание законодательства Российской Федерации, 2013, № 14, ст. 1652;</w:t>
            </w:r>
            <w:proofErr w:type="gramEnd"/>
            <w:r w:rsidRPr="009D0C9A">
              <w:rPr>
                <w:rFonts w:ascii="Times New Roman" w:hAnsi="Times New Roman" w:cs="Times New Roman"/>
                <w:sz w:val="24"/>
                <w:szCs w:val="24"/>
              </w:rPr>
              <w:t xml:space="preserve"> </w:t>
            </w:r>
            <w:proofErr w:type="gramStart"/>
            <w:r w:rsidRPr="009D0C9A">
              <w:rPr>
                <w:rFonts w:ascii="Times New Roman" w:hAnsi="Times New Roman" w:cs="Times New Roman"/>
                <w:sz w:val="24"/>
                <w:szCs w:val="24"/>
              </w:rPr>
              <w:t>2021, № 27, ст. 5188), а также идентификационный код закупки, при осуществлении которой предоставляется такая независимая гарантия</w:t>
            </w:r>
            <w:proofErr w:type="gramEnd"/>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обязатель</w:t>
            </w:r>
            <w:proofErr w:type="gramStart"/>
            <w:r w:rsidRPr="009D0C9A">
              <w:rPr>
                <w:rFonts w:ascii="Times New Roman" w:hAnsi="Times New Roman" w:cs="Times New Roman"/>
                <w:sz w:val="24"/>
                <w:szCs w:val="24"/>
              </w:rPr>
              <w:t>ств пр</w:t>
            </w:r>
            <w:proofErr w:type="gramEnd"/>
            <w:r w:rsidRPr="009D0C9A">
              <w:rPr>
                <w:rFonts w:ascii="Times New Roman" w:hAnsi="Times New Roman" w:cs="Times New Roman"/>
                <w:sz w:val="24"/>
                <w:szCs w:val="24"/>
              </w:rPr>
              <w:t>инципала, надлежащее исполнение которых обеспечивается независимой гарантией</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2</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обязанности гаранта уплатить заказчику неустойку в размере 0,1 процента денежной суммы, подлежащей уплате за каждый день просрочки</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3</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условия, согласно которому исполнением обязательств гаранта по независимой гарантии является фактическое поступление денежных сумм на счет заказчика, на котором в соответствии с законодательством Российской Федерации учитываются операции со средствами, поступающими заказчику</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4</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срока действия независимой гарантии с учетом требований статей 44 и 96 Федерального закона</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5</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proofErr w:type="gramStart"/>
            <w:r w:rsidRPr="009D0C9A">
              <w:rPr>
                <w:rFonts w:ascii="Times New Roman" w:hAnsi="Times New Roman" w:cs="Times New Roman"/>
                <w:sz w:val="24"/>
                <w:szCs w:val="24"/>
              </w:rPr>
              <w:t>отлагательного условия, предусматривающего заключение договора предоставления независимой гарантии по обязательствам принципала, возникающим из контракта при его заключении, в случае предоставления независимой гарантии в качестве обеспечения исполнения контракта,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w:t>
            </w:r>
            <w:proofErr w:type="gramEnd"/>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6</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установленного Правительством Российской Федерации перечня документов, предоставляемых заказчиком гаранту одновременно с требованием об осуществлении уплаты денежной суммы по независимой гарантии</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7</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 xml:space="preserve">Несоответствие независимой гарантии условиям, указанным в части 3 статьи 45 Федерального закона (Собрание законодательства Российской Федерации, 2013, № 14, ст. 1652; </w:t>
            </w:r>
            <w:proofErr w:type="gramStart"/>
            <w:r w:rsidRPr="009D0C9A">
              <w:rPr>
                <w:rFonts w:ascii="Times New Roman" w:hAnsi="Times New Roman" w:cs="Times New Roman"/>
                <w:sz w:val="24"/>
                <w:szCs w:val="24"/>
              </w:rPr>
              <w:t>2021, № 27, ст. 5188) в части отсутствия в независимой гарантии условия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w:t>
            </w:r>
            <w:proofErr w:type="gramEnd"/>
            <w:r w:rsidRPr="009D0C9A">
              <w:rPr>
                <w:rFonts w:ascii="Times New Roman" w:hAnsi="Times New Roman" w:cs="Times New Roman"/>
                <w:sz w:val="24"/>
                <w:szCs w:val="24"/>
              </w:rPr>
              <w:t xml:space="preserve"> срока ее действия</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8</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Несоответствие независимой гарантии требованиям, содержащимся в извещении об осуществлении закупки</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9</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Несоответствие независимой гарантии требованиям, содержащимся в приглашении принять участие в определении поставщика (подрядчика, исполнителя)</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10</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Несоответствие независимой гарантии требованиям, содержащимся в документации о закупке (в случае, если Федеральным законом предусмотрена документация о закупке)</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11</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lastRenderedPageBreak/>
              <w:t>Несоответствие независимой гарантии требованиям, содержащимся в проекте контракта, который заключается с единственным поставщиком (подрядчиком, исполнителем)</w:t>
            </w:r>
          </w:p>
        </w:tc>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12</w:t>
            </w:r>
          </w:p>
        </w:tc>
      </w:tr>
      <w:tr w:rsidR="009D0C9A" w:rsidRPr="009D0C9A" w:rsidTr="009D0C9A">
        <w:tc>
          <w:tcPr>
            <w:tcW w:w="0" w:type="auto"/>
            <w:hideMark/>
          </w:tcPr>
          <w:p w:rsidR="009D0C9A" w:rsidRPr="009D0C9A" w:rsidRDefault="009D0C9A" w:rsidP="009D0C9A">
            <w:pPr>
              <w:rPr>
                <w:rFonts w:ascii="Times New Roman" w:hAnsi="Times New Roman" w:cs="Times New Roman"/>
                <w:sz w:val="24"/>
                <w:szCs w:val="24"/>
              </w:rPr>
            </w:pPr>
            <w:r w:rsidRPr="009D0C9A">
              <w:rPr>
                <w:rFonts w:ascii="Times New Roman" w:hAnsi="Times New Roman" w:cs="Times New Roman"/>
                <w:sz w:val="24"/>
                <w:szCs w:val="24"/>
              </w:rPr>
              <w:t>Несоответствие независимой гарантии дополнительным требованиям, предусмотренным частью 8.2 статьи 45 Федерального закона (Собрание законодательства Российской Федерации, 2013, № 14, ст. 1652; 2021, № 27, ст. 5188)</w:t>
            </w:r>
          </w:p>
        </w:tc>
        <w:tc>
          <w:tcPr>
            <w:tcW w:w="0" w:type="auto"/>
            <w:vAlign w:val="center"/>
            <w:hideMark/>
          </w:tcPr>
          <w:p w:rsidR="009D0C9A" w:rsidRPr="009D0C9A" w:rsidRDefault="009D0C9A" w:rsidP="009D0C9A">
            <w:pPr>
              <w:rPr>
                <w:rFonts w:ascii="Times New Roman" w:hAnsi="Times New Roman" w:cs="Times New Roman"/>
                <w:sz w:val="24"/>
                <w:szCs w:val="24"/>
              </w:rPr>
            </w:pPr>
          </w:p>
        </w:tc>
      </w:tr>
    </w:tbl>
    <w:p w:rsidR="006D7278" w:rsidRPr="009D0C9A" w:rsidRDefault="006D7278">
      <w:pPr>
        <w:rPr>
          <w:rFonts w:ascii="Times New Roman" w:hAnsi="Times New Roman" w:cs="Times New Roman"/>
          <w:sz w:val="24"/>
          <w:szCs w:val="24"/>
        </w:rPr>
      </w:pPr>
    </w:p>
    <w:sectPr w:rsidR="006D7278" w:rsidRPr="009D0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C0"/>
    <w:rsid w:val="006D7278"/>
    <w:rsid w:val="009455C0"/>
    <w:rsid w:val="009D0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0C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0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596340">
      <w:bodyDiv w:val="1"/>
      <w:marLeft w:val="0"/>
      <w:marRight w:val="0"/>
      <w:marTop w:val="0"/>
      <w:marBottom w:val="0"/>
      <w:divBdr>
        <w:top w:val="none" w:sz="0" w:space="0" w:color="auto"/>
        <w:left w:val="none" w:sz="0" w:space="0" w:color="auto"/>
        <w:bottom w:val="none" w:sz="0" w:space="0" w:color="auto"/>
        <w:right w:val="none" w:sz="0" w:space="0" w:color="auto"/>
      </w:divBdr>
      <w:divsChild>
        <w:div w:id="187067071">
          <w:marLeft w:val="0"/>
          <w:marRight w:val="0"/>
          <w:marTop w:val="0"/>
          <w:marBottom w:val="180"/>
          <w:divBdr>
            <w:top w:val="none" w:sz="0" w:space="0" w:color="auto"/>
            <w:left w:val="none" w:sz="0" w:space="0" w:color="auto"/>
            <w:bottom w:val="none" w:sz="0" w:space="0" w:color="auto"/>
            <w:right w:val="none" w:sz="0" w:space="0" w:color="auto"/>
          </w:divBdr>
        </w:div>
        <w:div w:id="382290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3233361/" TargetMode="External"/><Relationship Id="rId13" Type="http://schemas.openxmlformats.org/officeDocument/2006/relationships/hyperlink" Target="https://www.garant.ru/products/ipo/prime/doc/403233361/" TargetMode="External"/><Relationship Id="rId18" Type="http://schemas.openxmlformats.org/officeDocument/2006/relationships/hyperlink" Target="https://www.garant.ru/products/ipo/prime/doc/403233361/" TargetMode="External"/><Relationship Id="rId3" Type="http://schemas.openxmlformats.org/officeDocument/2006/relationships/settings" Target="settings.xml"/><Relationship Id="rId21" Type="http://schemas.openxmlformats.org/officeDocument/2006/relationships/hyperlink" Target="https://www.garant.ru/products/ipo/prime/doc/403233361/" TargetMode="External"/><Relationship Id="rId7" Type="http://schemas.openxmlformats.org/officeDocument/2006/relationships/hyperlink" Target="https://www.garant.ru/products/ipo/prime/doc/403233361/" TargetMode="External"/><Relationship Id="rId12" Type="http://schemas.openxmlformats.org/officeDocument/2006/relationships/hyperlink" Target="https://www.garant.ru/products/ipo/prime/doc/403233361/" TargetMode="External"/><Relationship Id="rId17" Type="http://schemas.openxmlformats.org/officeDocument/2006/relationships/hyperlink" Target="https://www.garant.ru/products/ipo/prime/doc/403233361/" TargetMode="External"/><Relationship Id="rId2" Type="http://schemas.microsoft.com/office/2007/relationships/stylesWithEffects" Target="stylesWithEffects.xml"/><Relationship Id="rId16" Type="http://schemas.openxmlformats.org/officeDocument/2006/relationships/hyperlink" Target="https://www.garant.ru/products/ipo/prime/doc/403233361/" TargetMode="External"/><Relationship Id="rId20" Type="http://schemas.openxmlformats.org/officeDocument/2006/relationships/hyperlink" Target="https://www.garant.ru/products/ipo/prime/doc/403233361/" TargetMode="External"/><Relationship Id="rId1" Type="http://schemas.openxmlformats.org/officeDocument/2006/relationships/styles" Target="styles.xml"/><Relationship Id="rId6" Type="http://schemas.openxmlformats.org/officeDocument/2006/relationships/hyperlink" Target="https://www.garant.ru/products/ipo/prime/doc/403233361/" TargetMode="External"/><Relationship Id="rId11" Type="http://schemas.openxmlformats.org/officeDocument/2006/relationships/hyperlink" Target="https://www.garant.ru/products/ipo/prime/doc/403233361/" TargetMode="External"/><Relationship Id="rId24" Type="http://schemas.openxmlformats.org/officeDocument/2006/relationships/theme" Target="theme/theme1.xml"/><Relationship Id="rId5" Type="http://schemas.openxmlformats.org/officeDocument/2006/relationships/hyperlink" Target="https://www.garant.ru/products/ipo/prime/doc/403233361/" TargetMode="External"/><Relationship Id="rId15" Type="http://schemas.openxmlformats.org/officeDocument/2006/relationships/hyperlink" Target="https://www.garant.ru/products/ipo/prime/doc/403233361/" TargetMode="External"/><Relationship Id="rId23" Type="http://schemas.openxmlformats.org/officeDocument/2006/relationships/fontTable" Target="fontTable.xml"/><Relationship Id="rId10" Type="http://schemas.openxmlformats.org/officeDocument/2006/relationships/hyperlink" Target="https://www.garant.ru/products/ipo/prime/doc/403233361/" TargetMode="External"/><Relationship Id="rId19" Type="http://schemas.openxmlformats.org/officeDocument/2006/relationships/hyperlink" Target="https://www.garant.ru/products/ipo/prime/doc/403233361/" TargetMode="External"/><Relationship Id="rId4" Type="http://schemas.openxmlformats.org/officeDocument/2006/relationships/webSettings" Target="webSettings.xml"/><Relationship Id="rId9" Type="http://schemas.openxmlformats.org/officeDocument/2006/relationships/hyperlink" Target="https://www.garant.ru/products/ipo/prime/doc/403233361/" TargetMode="External"/><Relationship Id="rId14" Type="http://schemas.openxmlformats.org/officeDocument/2006/relationships/hyperlink" Target="https://www.garant.ru/products/ipo/prime/doc/403233361/" TargetMode="External"/><Relationship Id="rId22" Type="http://schemas.openxmlformats.org/officeDocument/2006/relationships/hyperlink" Target="https://www.garant.ru/products/ipo/prime/doc/4032333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5076</Words>
  <Characters>28935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Макаренков</dc:creator>
  <cp:lastModifiedBy>Олег Макаренков</cp:lastModifiedBy>
  <cp:revision>2</cp:revision>
  <dcterms:created xsi:type="dcterms:W3CDTF">2022-01-14T13:20:00Z</dcterms:created>
  <dcterms:modified xsi:type="dcterms:W3CDTF">2022-01-14T13:20:00Z</dcterms:modified>
</cp:coreProperties>
</file>